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D098" w14:textId="7FF55285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</w:t>
      </w:r>
      <w:r w:rsidR="00D63CBC">
        <w:rPr>
          <w:rFonts w:ascii="Times New Roman" w:hAnsi="Times New Roman"/>
          <w:b/>
          <w:color w:val="auto"/>
          <w:sz w:val="28"/>
          <w:szCs w:val="28"/>
          <w:lang w:val="uk-UA"/>
        </w:rPr>
        <w:t>5</w:t>
      </w: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603B5A" w:rsidRPr="00631767" w14:paraId="34DA2DFA" w14:textId="77777777" w:rsidTr="00296BE4">
        <w:tc>
          <w:tcPr>
            <w:tcW w:w="720" w:type="dxa"/>
          </w:tcPr>
          <w:p w14:paraId="76E952C6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963F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2766" w14:textId="044B5B19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</w:t>
            </w:r>
            <w:r w:rsidR="00D63CB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Чернігівської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облдержадміністрації</w:t>
            </w:r>
          </w:p>
        </w:tc>
      </w:tr>
      <w:tr w:rsidR="00603B5A" w:rsidRPr="00631767" w14:paraId="3B5EA677" w14:textId="77777777" w:rsidTr="00296BE4">
        <w:tc>
          <w:tcPr>
            <w:tcW w:w="720" w:type="dxa"/>
          </w:tcPr>
          <w:p w14:paraId="312292F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C914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D32B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03B5A" w:rsidRPr="00631767" w14:paraId="22159392" w14:textId="77777777" w:rsidTr="00296BE4">
        <w:tc>
          <w:tcPr>
            <w:tcW w:w="720" w:type="dxa"/>
          </w:tcPr>
          <w:p w14:paraId="3924E7DE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F1CF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C7AF3" w14:textId="25A7CC8D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D63CB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Чернігівської 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603B5A" w:rsidRPr="00631767" w14:paraId="64BD54CB" w14:textId="77777777" w:rsidTr="00296BE4">
        <w:tc>
          <w:tcPr>
            <w:tcW w:w="720" w:type="dxa"/>
          </w:tcPr>
          <w:p w14:paraId="30CB12F8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3802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7F34C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603B5A" w:rsidRPr="00631767" w14:paraId="2A24053E" w14:textId="77777777" w:rsidTr="00296BE4">
        <w:tc>
          <w:tcPr>
            <w:tcW w:w="720" w:type="dxa"/>
          </w:tcPr>
          <w:p w14:paraId="4E6AD3B3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FB4" w14:textId="77777777" w:rsidR="00603B5A" w:rsidRPr="00631767" w:rsidRDefault="00603B5A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A8C68E3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7A0A6E7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CEFA" w14:textId="77777777" w:rsidR="00603B5A" w:rsidRPr="00631767" w:rsidRDefault="00603B5A" w:rsidP="00873F2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другої (позачергової) сесії обласної ради восьмого скликання від </w:t>
            </w: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 w:rsidRPr="00631767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603B5A" w:rsidRPr="00631767" w14:paraId="08CEA71A" w14:textId="77777777" w:rsidTr="00296BE4">
        <w:tc>
          <w:tcPr>
            <w:tcW w:w="720" w:type="dxa"/>
          </w:tcPr>
          <w:p w14:paraId="42E9ECB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C315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D4A77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AED4B43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C6D39BB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Pr="006317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767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Чернігівської області на 2021-2025 роки____________________________________________________________________</w:t>
      </w: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14:paraId="054CA676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631767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(назва програми)</w:t>
      </w:r>
    </w:p>
    <w:p w14:paraId="689AA327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 w:rsidR="00603B5A" w:rsidRPr="00631767" w14:paraId="428B540D" w14:textId="77777777" w:rsidTr="00F7385A">
        <w:tc>
          <w:tcPr>
            <w:tcW w:w="530" w:type="dxa"/>
            <w:vMerge w:val="restart"/>
          </w:tcPr>
          <w:p w14:paraId="0F720868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24B92D36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6F0849A1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12"/>
          </w:tcPr>
          <w:p w14:paraId="2BFD9D9A" w14:textId="77777777" w:rsidR="00603B5A" w:rsidRPr="00631767" w:rsidRDefault="00603B5A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12"/>
          </w:tcPr>
          <w:p w14:paraId="3B93D70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053" w:type="dxa"/>
            <w:gridSpan w:val="2"/>
            <w:vMerge w:val="restart"/>
          </w:tcPr>
          <w:p w14:paraId="31AC8587" w14:textId="77777777" w:rsidR="00603B5A" w:rsidRPr="00631767" w:rsidRDefault="00603B5A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03B5A" w:rsidRPr="00631767" w14:paraId="319FEB09" w14:textId="77777777" w:rsidTr="00F7385A">
        <w:tc>
          <w:tcPr>
            <w:tcW w:w="530" w:type="dxa"/>
            <w:vMerge/>
            <w:vAlign w:val="center"/>
          </w:tcPr>
          <w:p w14:paraId="76243F8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7A6F357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AD238D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extDirection w:val="btLr"/>
            <w:vAlign w:val="center"/>
          </w:tcPr>
          <w:p w14:paraId="3DDB104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80B756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gridSpan w:val="2"/>
            <w:vMerge w:val="restart"/>
            <w:textDirection w:val="btLr"/>
            <w:vAlign w:val="center"/>
          </w:tcPr>
          <w:p w14:paraId="0AA346C3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4DE5A9E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51472694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0C6EBA4C" w14:textId="77777777" w:rsidTr="003945C0">
        <w:trPr>
          <w:cantSplit/>
          <w:trHeight w:val="2541"/>
        </w:trPr>
        <w:tc>
          <w:tcPr>
            <w:tcW w:w="530" w:type="dxa"/>
            <w:vMerge/>
            <w:vAlign w:val="center"/>
          </w:tcPr>
          <w:p w14:paraId="5F0887FE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555FF4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F30199F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vAlign w:val="center"/>
          </w:tcPr>
          <w:p w14:paraId="6353AAC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BCB48B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60B2808E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AFAB82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F769D16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4751954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gridSpan w:val="2"/>
            <w:vMerge/>
            <w:textDirection w:val="btLr"/>
            <w:vAlign w:val="center"/>
          </w:tcPr>
          <w:p w14:paraId="5B59782A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1263DC7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C0EA392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78A5CAB0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B5DBA0D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B73ECB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01F0C2D3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4EDD0977" w14:textId="77777777" w:rsidTr="00F7385A">
        <w:trPr>
          <w:gridAfter w:val="1"/>
          <w:wAfter w:w="6" w:type="dxa"/>
          <w:cantSplit/>
          <w:trHeight w:val="261"/>
        </w:trPr>
        <w:tc>
          <w:tcPr>
            <w:tcW w:w="530" w:type="dxa"/>
            <w:vMerge w:val="restart"/>
          </w:tcPr>
          <w:p w14:paraId="0EEDBE72" w14:textId="4DACF20D" w:rsidR="00603B5A" w:rsidRPr="009B5A47" w:rsidRDefault="009B5A47" w:rsidP="00CA7559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1.</w:t>
            </w:r>
          </w:p>
        </w:tc>
        <w:tc>
          <w:tcPr>
            <w:tcW w:w="1738" w:type="dxa"/>
          </w:tcPr>
          <w:p w14:paraId="51AFD4CD" w14:textId="77777777" w:rsidR="00603B5A" w:rsidRPr="00631767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1838C4F" w14:textId="77777777" w:rsidR="00603B5A" w:rsidRPr="00631767" w:rsidRDefault="00603B5A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extDirection w:val="btLr"/>
          </w:tcPr>
          <w:p w14:paraId="0EAA8DF7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4014F959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extDirection w:val="btLr"/>
          </w:tcPr>
          <w:p w14:paraId="7FAEA3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extDirection w:val="btLr"/>
          </w:tcPr>
          <w:p w14:paraId="69B5BE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7C4C8D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extDirection w:val="btLr"/>
          </w:tcPr>
          <w:p w14:paraId="1FDB3FDC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extDirection w:val="btLr"/>
          </w:tcPr>
          <w:p w14:paraId="392D8EB3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extDirection w:val="btLr"/>
          </w:tcPr>
          <w:p w14:paraId="23C83036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extDirection w:val="btLr"/>
          </w:tcPr>
          <w:p w14:paraId="51EE5086" w14:textId="77777777" w:rsidR="00603B5A" w:rsidRPr="00631767" w:rsidRDefault="00603B5A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extDirection w:val="btLr"/>
          </w:tcPr>
          <w:p w14:paraId="3E93F467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extDirection w:val="btLr"/>
          </w:tcPr>
          <w:p w14:paraId="4D13F7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extDirection w:val="btLr"/>
          </w:tcPr>
          <w:p w14:paraId="1208BD10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</w:tcPr>
          <w:p w14:paraId="7449D0D2" w14:textId="77777777" w:rsidR="00603B5A" w:rsidRPr="00631767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603B5A" w:rsidRPr="00847E75" w14:paraId="645DD52B" w14:textId="77777777" w:rsidTr="00F7385A">
        <w:trPr>
          <w:gridAfter w:val="1"/>
          <w:wAfter w:w="6" w:type="dxa"/>
          <w:cantSplit/>
          <w:trHeight w:val="1691"/>
        </w:trPr>
        <w:tc>
          <w:tcPr>
            <w:tcW w:w="530" w:type="dxa"/>
            <w:vMerge/>
          </w:tcPr>
          <w:p w14:paraId="10C0F9C4" w14:textId="77777777" w:rsidR="00603B5A" w:rsidRPr="00631767" w:rsidRDefault="00603B5A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63A9E62" w14:textId="77777777" w:rsidR="00603B5A" w:rsidRPr="00AD4861" w:rsidRDefault="00603B5A" w:rsidP="00C6700C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AD4861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Pr="00AD4861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14:paraId="21DAE8B3" w14:textId="77777777" w:rsidR="00603B5A" w:rsidRPr="00AD4861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61DDF5C" w14:textId="77777777" w:rsidR="00603B5A" w:rsidRPr="00AD4861" w:rsidRDefault="00603B5A" w:rsidP="00625CE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230EBF70" w14:textId="014C19D1" w:rsidR="00603B5A" w:rsidRPr="00AD4861" w:rsidRDefault="00603B5A" w:rsidP="00625CE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087C5C"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AD486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</w:p>
        </w:tc>
        <w:tc>
          <w:tcPr>
            <w:tcW w:w="436" w:type="dxa"/>
            <w:textDirection w:val="btLr"/>
          </w:tcPr>
          <w:p w14:paraId="07D2FE90" w14:textId="23D635AD" w:rsidR="00603B5A" w:rsidRPr="001174E2" w:rsidRDefault="001174E2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570" w:type="dxa"/>
            <w:gridSpan w:val="2"/>
            <w:textDirection w:val="btLr"/>
          </w:tcPr>
          <w:p w14:paraId="447C89BE" w14:textId="237F7C88" w:rsidR="00603B5A" w:rsidRPr="001174E2" w:rsidRDefault="001174E2" w:rsidP="00DF677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2700,0</w:t>
            </w:r>
          </w:p>
        </w:tc>
        <w:tc>
          <w:tcPr>
            <w:tcW w:w="1095" w:type="dxa"/>
            <w:gridSpan w:val="2"/>
            <w:textDirection w:val="btLr"/>
          </w:tcPr>
          <w:p w14:paraId="78BD1709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0929AC62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EC6E5AC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F65C88E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0ECBDDF5" w14:textId="23BC7E55" w:rsidR="00603B5A" w:rsidRPr="001174E2" w:rsidRDefault="001174E2" w:rsidP="00114FD5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2689,87</w:t>
            </w:r>
          </w:p>
        </w:tc>
        <w:tc>
          <w:tcPr>
            <w:tcW w:w="540" w:type="dxa"/>
            <w:gridSpan w:val="2"/>
            <w:textDirection w:val="btLr"/>
          </w:tcPr>
          <w:p w14:paraId="3E0EC8D6" w14:textId="1E8947E5" w:rsidR="00603B5A" w:rsidRPr="001174E2" w:rsidRDefault="001174E2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2689,87</w:t>
            </w:r>
          </w:p>
        </w:tc>
        <w:tc>
          <w:tcPr>
            <w:tcW w:w="1126" w:type="dxa"/>
            <w:gridSpan w:val="2"/>
            <w:textDirection w:val="btLr"/>
          </w:tcPr>
          <w:p w14:paraId="583B827F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E0A2A49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7051ECA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4A7B175B" w14:textId="77777777" w:rsidR="00603B5A" w:rsidRPr="001174E2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174E2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F3BCE14" w14:textId="77777777" w:rsidR="00603B5A" w:rsidRPr="001174E2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Поповненено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регіональний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матеріальний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проведення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аварійно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відновлюваних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1174E2">
              <w:rPr>
                <w:rFonts w:ascii="Times New Roman" w:hAnsi="Times New Roman"/>
                <w:szCs w:val="24"/>
                <w:lang w:val="ru-RU"/>
              </w:rPr>
              <w:t>робіт</w:t>
            </w:r>
            <w:proofErr w:type="spellEnd"/>
            <w:r w:rsidRPr="001174E2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603B5A" w:rsidRPr="002C32BA" w14:paraId="61C13CAB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7EC7AEDB" w14:textId="0B489BDD" w:rsidR="00603B5A" w:rsidRPr="009B5A47" w:rsidRDefault="009B5A47" w:rsidP="00CA7559">
            <w:pPr>
              <w:jc w:val="both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lastRenderedPageBreak/>
              <w:t>2.</w:t>
            </w:r>
          </w:p>
        </w:tc>
        <w:tc>
          <w:tcPr>
            <w:tcW w:w="1738" w:type="dxa"/>
            <w:shd w:val="clear" w:color="auto" w:fill="auto"/>
          </w:tcPr>
          <w:p w14:paraId="4D8BF866" w14:textId="77777777" w:rsidR="00603B5A" w:rsidRPr="0026421C" w:rsidRDefault="00603B5A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26421C">
              <w:rPr>
                <w:rFonts w:ascii="Times New Roman" w:hAnsi="Times New Roman"/>
                <w:szCs w:val="24"/>
                <w:lang w:val="uk-UA"/>
              </w:rPr>
              <w:t xml:space="preserve">2.Розвиток системи </w:t>
            </w:r>
            <w:proofErr w:type="spellStart"/>
            <w:r w:rsidRPr="0026421C">
              <w:rPr>
                <w:rFonts w:ascii="Times New Roman" w:hAnsi="Times New Roman"/>
                <w:szCs w:val="24"/>
                <w:lang w:val="uk-UA"/>
              </w:rPr>
              <w:t>зв’язку,оповіщення</w:t>
            </w:r>
            <w:proofErr w:type="spellEnd"/>
            <w:r w:rsidRPr="0026421C"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</w:p>
        </w:tc>
        <w:tc>
          <w:tcPr>
            <w:tcW w:w="1409" w:type="dxa"/>
            <w:shd w:val="clear" w:color="auto" w:fill="auto"/>
          </w:tcPr>
          <w:p w14:paraId="0DC5502D" w14:textId="77777777" w:rsidR="00603B5A" w:rsidRPr="0026421C" w:rsidRDefault="00603B5A" w:rsidP="00281EC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65A19022" w14:textId="5E3A8583" w:rsidR="00603B5A" w:rsidRPr="0026421C" w:rsidRDefault="00603B5A" w:rsidP="00281EC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202</w:t>
            </w:r>
            <w:r w:rsidR="00087C5C"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>5</w:t>
            </w:r>
            <w:r w:rsidRPr="0026421C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р.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022354A1" w14:textId="243EC6CD" w:rsidR="00603B5A" w:rsidRPr="0026421C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</w:t>
            </w:r>
            <w:r w:rsidR="0026421C"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321,5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207243A9" w14:textId="1D9CD20E" w:rsidR="00603B5A" w:rsidRPr="0026421C" w:rsidRDefault="0026421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2321,5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5A9A7373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724BF770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67607CC5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7B9F7FC8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30F62347" w14:textId="027A92DD" w:rsidR="00603B5A" w:rsidRPr="0026421C" w:rsidRDefault="00F86992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1797,06</w:t>
            </w:r>
          </w:p>
        </w:tc>
        <w:tc>
          <w:tcPr>
            <w:tcW w:w="540" w:type="dxa"/>
            <w:gridSpan w:val="2"/>
            <w:textDirection w:val="btLr"/>
          </w:tcPr>
          <w:p w14:paraId="6DB42BF0" w14:textId="567B229B" w:rsidR="00603B5A" w:rsidRPr="0026421C" w:rsidRDefault="00F86992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1797,06</w:t>
            </w:r>
          </w:p>
        </w:tc>
        <w:tc>
          <w:tcPr>
            <w:tcW w:w="1126" w:type="dxa"/>
            <w:gridSpan w:val="2"/>
            <w:textDirection w:val="btLr"/>
          </w:tcPr>
          <w:p w14:paraId="34068B87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A237EE6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C83AFC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28BB216" w14:textId="77777777" w:rsidR="00603B5A" w:rsidRPr="0026421C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26421C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43BB5FB" w14:textId="65011070" w:rsidR="00603B5A" w:rsidRPr="00087C5C" w:rsidRDefault="00603B5A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Підтримано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модернізовану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працездатному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087C5C">
              <w:rPr>
                <w:b w:val="0"/>
                <w:sz w:val="24"/>
                <w:szCs w:val="24"/>
                <w:lang w:val="ru-RU"/>
              </w:rPr>
              <w:t>стані</w:t>
            </w:r>
            <w:proofErr w:type="spellEnd"/>
            <w:r w:rsidR="008D06A6">
              <w:rPr>
                <w:b w:val="0"/>
                <w:sz w:val="24"/>
                <w:szCs w:val="24"/>
                <w:lang w:val="ru-RU"/>
              </w:rPr>
              <w:t xml:space="preserve">, </w:t>
            </w:r>
            <w:r w:rsidRPr="00087C5C">
              <w:t xml:space="preserve"> </w:t>
            </w:r>
            <w:proofErr w:type="spellStart"/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розроблен</w:t>
            </w:r>
            <w:proofErr w:type="spellEnd"/>
            <w:r w:rsidR="008D06A6">
              <w:rPr>
                <w:rFonts w:hint="eastAsia"/>
                <w:b w:val="0"/>
                <w:bCs w:val="0"/>
                <w:sz w:val="24"/>
                <w:szCs w:val="24"/>
                <w:lang w:val="ru-RU"/>
              </w:rPr>
              <w:t>о</w:t>
            </w:r>
            <w:proofErr w:type="gramEnd"/>
            <w:r w:rsidR="008D06A6" w:rsidRPr="008D06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проектно</w:t>
            </w:r>
            <w:r w:rsidR="008D06A6" w:rsidRPr="008D06A6">
              <w:rPr>
                <w:b w:val="0"/>
                <w:bCs w:val="0"/>
                <w:sz w:val="24"/>
                <w:szCs w:val="24"/>
              </w:rPr>
              <w:t>-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кошторисну</w:t>
            </w:r>
            <w:r w:rsidR="008D06A6" w:rsidRPr="008D06A6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8D06A6" w:rsidRPr="008D06A6">
              <w:rPr>
                <w:rFonts w:hint="eastAsia"/>
                <w:b w:val="0"/>
                <w:bCs w:val="0"/>
                <w:sz w:val="24"/>
                <w:szCs w:val="24"/>
              </w:rPr>
              <w:t>документацію</w:t>
            </w:r>
            <w:r w:rsidR="008D06A6">
              <w:rPr>
                <w:b w:val="0"/>
                <w:bCs w:val="0"/>
                <w:sz w:val="24"/>
                <w:szCs w:val="24"/>
              </w:rPr>
              <w:t>.</w:t>
            </w:r>
            <w:r w:rsidR="008D06A6" w:rsidRPr="008D06A6">
              <w:t xml:space="preserve"> </w:t>
            </w:r>
            <w:r w:rsidRPr="00087C5C">
              <w:rPr>
                <w:b w:val="0"/>
                <w:sz w:val="24"/>
                <w:szCs w:val="24"/>
              </w:rPr>
              <w:t xml:space="preserve">Забезпечено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технічний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захист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87C5C">
              <w:rPr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087C5C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9B5A47" w:rsidRPr="002C32BA" w14:paraId="27887383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5F39CDBE" w14:textId="3321BE93" w:rsidR="009B5A47" w:rsidRPr="00875F45" w:rsidRDefault="001F7F8E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3.</w:t>
            </w:r>
          </w:p>
        </w:tc>
        <w:tc>
          <w:tcPr>
            <w:tcW w:w="1738" w:type="dxa"/>
            <w:shd w:val="clear" w:color="auto" w:fill="auto"/>
          </w:tcPr>
          <w:p w14:paraId="4796D9F3" w14:textId="45421DF8" w:rsidR="009B5A47" w:rsidRPr="00C75279" w:rsidRDefault="005950B7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3.2. .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Проведення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інструментального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контролю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технічного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захисту</w:t>
            </w:r>
            <w:r w:rsidRPr="00C75279">
              <w:rPr>
                <w:rFonts w:ascii="Times New Roman" w:hAnsi="Times New Roman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szCs w:val="24"/>
                <w:lang w:val="uk-UA"/>
              </w:rPr>
              <w:t>інформації</w:t>
            </w:r>
          </w:p>
        </w:tc>
        <w:tc>
          <w:tcPr>
            <w:tcW w:w="1409" w:type="dxa"/>
            <w:shd w:val="clear" w:color="auto" w:fill="auto"/>
          </w:tcPr>
          <w:p w14:paraId="7EDC6EE3" w14:textId="77777777" w:rsidR="005950B7" w:rsidRPr="00C75279" w:rsidRDefault="005950B7" w:rsidP="005950B7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013416A6" w14:textId="6996FBA4" w:rsidR="009B5A47" w:rsidRPr="00C75279" w:rsidRDefault="005950B7" w:rsidP="005950B7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 w:rsidRPr="00C75279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</w:t>
            </w:r>
            <w:r w:rsidRPr="00C75279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465589D7" w14:textId="2FFD5E85" w:rsidR="009B5A47" w:rsidRPr="00C75279" w:rsidRDefault="00C75279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C61C7C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5A95C509" w14:textId="261FD5E1" w:rsidR="009B5A47" w:rsidRPr="00C75279" w:rsidRDefault="00C75279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C61C7C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3EB4DDF6" w14:textId="66A01451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3BB3EB3A" w14:textId="2638598B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0053E724" w14:textId="5ACFF579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2DD7061A" w14:textId="770903D6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2D11EBDD" w14:textId="2E5CF01B" w:rsidR="009B5A47" w:rsidRPr="00C75279" w:rsidRDefault="00C75279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BD3F69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  <w:r w:rsidR="00716905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40" w:type="dxa"/>
            <w:gridSpan w:val="2"/>
            <w:textDirection w:val="btLr"/>
          </w:tcPr>
          <w:p w14:paraId="23924C09" w14:textId="3E740DB5" w:rsidR="009B5A47" w:rsidRPr="00C75279" w:rsidRDefault="00C75279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</w:t>
            </w:r>
            <w:r w:rsidR="00716905"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126" w:type="dxa"/>
            <w:gridSpan w:val="2"/>
            <w:textDirection w:val="btLr"/>
          </w:tcPr>
          <w:p w14:paraId="3E7BCB70" w14:textId="2FE523A0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2E385D2F" w14:textId="049486C6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435B9137" w14:textId="5102FEA5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ADECD37" w14:textId="7AEFD9ED" w:rsidR="009B5A47" w:rsidRPr="00C75279" w:rsidRDefault="00C61C7C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C7527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40736F7A" w14:textId="4A0D01DD" w:rsidR="009B5A47" w:rsidRPr="00C75279" w:rsidRDefault="00716905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Захищено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таємну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інформацію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та</w:t>
            </w:r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інформацію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з</w:t>
            </w:r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обмеженим</w:t>
            </w:r>
            <w:proofErr w:type="spellEnd"/>
            <w:r w:rsidRPr="00C75279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C75279">
              <w:rPr>
                <w:rFonts w:hint="eastAsia"/>
                <w:b w:val="0"/>
                <w:sz w:val="24"/>
                <w:szCs w:val="24"/>
                <w:lang w:val="ru-RU"/>
              </w:rPr>
              <w:t>доступом</w:t>
            </w:r>
            <w:r w:rsidRPr="00C75279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  <w:tr w:rsidR="002829FD" w:rsidRPr="002C32BA" w14:paraId="49389922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720CF246" w14:textId="40756C17" w:rsidR="002829FD" w:rsidRDefault="002829FD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 xml:space="preserve">4. </w:t>
            </w:r>
          </w:p>
        </w:tc>
        <w:tc>
          <w:tcPr>
            <w:tcW w:w="1738" w:type="dxa"/>
            <w:shd w:val="clear" w:color="auto" w:fill="auto"/>
          </w:tcPr>
          <w:p w14:paraId="3B01D79D" w14:textId="77777777" w:rsidR="002829FD" w:rsidRPr="00F562C4" w:rsidRDefault="002829FD" w:rsidP="002829FD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7.1. 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Здійснення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капітального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чи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поточного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ремонту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(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реконструкції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)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захисних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споруд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цивільного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захисту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незалежно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від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форми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власності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(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сховищ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протира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діаційних</w:t>
            </w:r>
            <w:proofErr w:type="spellEnd"/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укриттів</w:t>
            </w:r>
            <w:proofErr w:type="spellEnd"/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),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споруд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подвійного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призначення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тощо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;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розробка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проєктно</w:t>
            </w:r>
            <w:proofErr w:type="spellEnd"/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кошторисної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документації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закупівля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будівельних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матеріалів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та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інших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матеріально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>-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технічних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засобів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для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здійснення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ремонту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захисних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споруд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>.</w:t>
            </w:r>
          </w:p>
          <w:p w14:paraId="75B7562C" w14:textId="05E20FE0" w:rsidR="002829FD" w:rsidRPr="00F562C4" w:rsidRDefault="002829FD" w:rsidP="002829FD">
            <w:pPr>
              <w:ind w:right="-108"/>
              <w:jc w:val="both"/>
              <w:rPr>
                <w:rFonts w:ascii="Times New Roman" w:hAnsi="Times New Roman"/>
                <w:sz w:val="22"/>
                <w:szCs w:val="22"/>
                <w:highlight w:val="yellow"/>
                <w:lang w:val="uk-UA"/>
              </w:rPr>
            </w:pP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Здійснення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видатків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на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утримання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відповідних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об’єктів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на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час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ремонту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та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подальшої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експлуатації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зокрема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оплати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комунальних</w:t>
            </w:r>
            <w:r w:rsidRPr="00F562C4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</w:t>
            </w:r>
            <w:r w:rsidRPr="00F562C4">
              <w:rPr>
                <w:rFonts w:ascii="Times New Roman" w:hAnsi="Times New Roman" w:hint="eastAsia"/>
                <w:sz w:val="22"/>
                <w:szCs w:val="22"/>
                <w:lang w:val="uk-UA"/>
              </w:rPr>
              <w:t>послуг</w:t>
            </w:r>
          </w:p>
        </w:tc>
        <w:tc>
          <w:tcPr>
            <w:tcW w:w="1409" w:type="dxa"/>
            <w:shd w:val="clear" w:color="auto" w:fill="auto"/>
          </w:tcPr>
          <w:p w14:paraId="0C7C9B87" w14:textId="77777777" w:rsidR="002829FD" w:rsidRPr="002829FD" w:rsidRDefault="002829FD" w:rsidP="002829F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Департа</w:t>
            </w:r>
            <w:proofErr w:type="spellEnd"/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мент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питань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ЦЗ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ОР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ОДА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1571C1CF" w14:textId="23673F18" w:rsidR="002829FD" w:rsidRPr="005950B7" w:rsidRDefault="002829FD" w:rsidP="002829FD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2025 </w:t>
            </w:r>
            <w:r w:rsidRPr="002829FD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</w:t>
            </w:r>
            <w:r w:rsidRPr="002829FD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4824E45C" w14:textId="01E51ACA" w:rsidR="002829FD" w:rsidRPr="00D80E66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D80E66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</w:t>
            </w:r>
            <w:r w:rsidR="00FA3993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4A59862C" w14:textId="5F490724" w:rsidR="002829FD" w:rsidRPr="00D80E66" w:rsidRDefault="00167AAB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D80E66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000</w:t>
            </w:r>
            <w:r w:rsidR="00FA3993"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,0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677D1D46" w14:textId="64644CE5" w:rsidR="002829FD" w:rsidRPr="00D80E66" w:rsidRDefault="00FA3993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80E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45D8F7B9" w14:textId="6550BB00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2FA44043" w14:textId="6522EB74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4B420BD4" w14:textId="07AFB608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3FCC946A" w14:textId="1F8FC64F" w:rsidR="002829FD" w:rsidRPr="00167AAB" w:rsidRDefault="00FA3993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5102,0</w:t>
            </w:r>
          </w:p>
        </w:tc>
        <w:tc>
          <w:tcPr>
            <w:tcW w:w="540" w:type="dxa"/>
            <w:gridSpan w:val="2"/>
            <w:textDirection w:val="btLr"/>
          </w:tcPr>
          <w:p w14:paraId="26667C87" w14:textId="3EDEA2E7" w:rsidR="002829FD" w:rsidRPr="00167AAB" w:rsidRDefault="00FA3993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5102,0</w:t>
            </w:r>
          </w:p>
        </w:tc>
        <w:tc>
          <w:tcPr>
            <w:tcW w:w="1126" w:type="dxa"/>
            <w:gridSpan w:val="2"/>
            <w:textDirection w:val="btLr"/>
          </w:tcPr>
          <w:p w14:paraId="44C40E99" w14:textId="552D73DA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3070EF55" w14:textId="4BC24690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779A4AFF" w14:textId="7719F061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753BFE89" w14:textId="3927B2EC" w:rsidR="002829FD" w:rsidRPr="00167AAB" w:rsidRDefault="002829FD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167AAB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45B546FD" w14:textId="7C0E3D46" w:rsidR="002829FD" w:rsidRPr="00F562C4" w:rsidRDefault="002829FD" w:rsidP="002829FD">
            <w:pPr>
              <w:pStyle w:val="1"/>
              <w:shd w:val="clear" w:color="auto" w:fill="FFFFFF"/>
              <w:jc w:val="both"/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Здійснено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капітальний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/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поточний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ремонт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(</w:t>
            </w:r>
            <w:proofErr w:type="spellStart"/>
            <w:proofErr w:type="gram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реконструкцію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) 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однієї</w:t>
            </w:r>
            <w:proofErr w:type="spellEnd"/>
            <w:proofErr w:type="gram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захисної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споруди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цивільного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захисту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незалежно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від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форми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власності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сховища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протирадіаційно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>-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го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укриття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),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споруд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подвійного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призначення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тощо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розроблено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проєктно</w:t>
            </w:r>
            <w:r w:rsidRPr="00F562C4">
              <w:rPr>
                <w:b w:val="0"/>
                <w:sz w:val="22"/>
                <w:szCs w:val="22"/>
                <w:lang w:val="ru-RU"/>
              </w:rPr>
              <w:t>-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кошторисну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документацію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,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закуплено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будівельні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матеріали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та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інші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матеріально</w:t>
            </w:r>
            <w:r w:rsidRPr="00F562C4">
              <w:rPr>
                <w:b w:val="0"/>
                <w:sz w:val="22"/>
                <w:szCs w:val="22"/>
                <w:lang w:val="ru-RU"/>
              </w:rPr>
              <w:t>-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технічні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засоби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для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здійснення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ремонту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захисних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споруд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>.</w:t>
            </w:r>
          </w:p>
          <w:p w14:paraId="19A0CF2C" w14:textId="3C50AF76" w:rsidR="002829FD" w:rsidRPr="00716905" w:rsidRDefault="002829FD" w:rsidP="002829FD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Здійснено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видатки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на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утримання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відповідно</w:t>
            </w:r>
            <w:r w:rsidRPr="00F562C4">
              <w:rPr>
                <w:b w:val="0"/>
                <w:sz w:val="22"/>
                <w:szCs w:val="22"/>
                <w:lang w:val="ru-RU"/>
              </w:rPr>
              <w:t>го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об’єкту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на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час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ремонту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та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подальшої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експлуатації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зокрема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оплати</w:t>
            </w:r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комунальних</w:t>
            </w:r>
            <w:proofErr w:type="spellEnd"/>
            <w:r w:rsidRPr="00F562C4">
              <w:rPr>
                <w:b w:val="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F562C4">
              <w:rPr>
                <w:rFonts w:hint="eastAsia"/>
                <w:b w:val="0"/>
                <w:sz w:val="22"/>
                <w:szCs w:val="22"/>
                <w:lang w:val="ru-RU"/>
              </w:rPr>
              <w:t>послуг</w:t>
            </w:r>
            <w:proofErr w:type="spellEnd"/>
            <w:r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</w:tbl>
    <w:p w14:paraId="4D4147D5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C6D9CCE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5F45">
        <w:rPr>
          <w:rFonts w:ascii="Times New Roman" w:hAnsi="Times New Roman"/>
          <w:color w:val="auto"/>
          <w:sz w:val="28"/>
          <w:szCs w:val="28"/>
          <w:lang w:val="uk-UA"/>
        </w:rPr>
        <w:t>5. Аналіз виконання за видатками в цілому за програмою:</w:t>
      </w:r>
    </w:p>
    <w:p w14:paraId="74257049" w14:textId="77777777" w:rsidR="00603B5A" w:rsidRPr="00875F45" w:rsidRDefault="00603B5A" w:rsidP="007F7A64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875F45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 w:rsidR="00603B5A" w:rsidRPr="00875F45" w14:paraId="1425EB06" w14:textId="77777777" w:rsidTr="007F7A64">
        <w:tc>
          <w:tcPr>
            <w:tcW w:w="6011" w:type="dxa"/>
            <w:gridSpan w:val="3"/>
          </w:tcPr>
          <w:p w14:paraId="5B519E79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54" w:type="dxa"/>
            <w:gridSpan w:val="4"/>
          </w:tcPr>
          <w:p w14:paraId="65396ED5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4295" w:type="dxa"/>
            <w:gridSpan w:val="4"/>
          </w:tcPr>
          <w:p w14:paraId="675DCA47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603B5A" w:rsidRPr="00875F45" w14:paraId="736BF36A" w14:textId="77777777" w:rsidTr="007F7A64">
        <w:trPr>
          <w:gridAfter w:val="1"/>
          <w:wAfter w:w="15" w:type="dxa"/>
          <w:trHeight w:val="570"/>
        </w:trPr>
        <w:tc>
          <w:tcPr>
            <w:tcW w:w="1261" w:type="dxa"/>
          </w:tcPr>
          <w:p w14:paraId="0DB607DF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2249" w:type="dxa"/>
          </w:tcPr>
          <w:p w14:paraId="1B589C74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501" w:type="dxa"/>
          </w:tcPr>
          <w:p w14:paraId="3176C896" w14:textId="77777777" w:rsidR="00603B5A" w:rsidRPr="00FB6453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10" w:type="dxa"/>
          </w:tcPr>
          <w:p w14:paraId="34F9F00B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</w:tcPr>
          <w:p w14:paraId="737AAFC2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44B5968B" w14:textId="77777777" w:rsidR="00603B5A" w:rsidRPr="00FB6453" w:rsidRDefault="00603B5A" w:rsidP="007F7A64">
            <w:pPr>
              <w:overflowPunct/>
              <w:adjustRightInd/>
              <w:ind w:hanging="2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257" w:type="dxa"/>
            <w:gridSpan w:val="2"/>
          </w:tcPr>
          <w:p w14:paraId="055D3016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452" w:type="dxa"/>
          </w:tcPr>
          <w:p w14:paraId="630A6A72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21A288EF" w14:textId="77777777" w:rsidR="00603B5A" w:rsidRPr="00FB6453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FB6453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603B5A" w:rsidRPr="00377655" w14:paraId="52EB92E3" w14:textId="77777777" w:rsidTr="00BD3EB2">
        <w:trPr>
          <w:gridAfter w:val="1"/>
          <w:wAfter w:w="15" w:type="dxa"/>
          <w:trHeight w:val="58"/>
        </w:trPr>
        <w:tc>
          <w:tcPr>
            <w:tcW w:w="1261" w:type="dxa"/>
          </w:tcPr>
          <w:p w14:paraId="0F662B5D" w14:textId="6670861D" w:rsidR="009E34CA" w:rsidRPr="004E49E9" w:rsidRDefault="00BB54C2" w:rsidP="00FB645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20091,5</w:t>
            </w:r>
          </w:p>
        </w:tc>
        <w:tc>
          <w:tcPr>
            <w:tcW w:w="2249" w:type="dxa"/>
          </w:tcPr>
          <w:p w14:paraId="5D9A3A04" w14:textId="309F86B0" w:rsidR="00603B5A" w:rsidRPr="004E49E9" w:rsidRDefault="00BB54C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17418,5</w:t>
            </w:r>
          </w:p>
        </w:tc>
        <w:tc>
          <w:tcPr>
            <w:tcW w:w="2501" w:type="dxa"/>
          </w:tcPr>
          <w:p w14:paraId="00B0A43E" w14:textId="3D13D5E2" w:rsidR="00603B5A" w:rsidRPr="004E49E9" w:rsidRDefault="00BB54C2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2673,0</w:t>
            </w:r>
          </w:p>
        </w:tc>
        <w:tc>
          <w:tcPr>
            <w:tcW w:w="1610" w:type="dxa"/>
          </w:tcPr>
          <w:p w14:paraId="13998A82" w14:textId="1A165FE2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9657,3</w:t>
            </w:r>
          </w:p>
        </w:tc>
        <w:tc>
          <w:tcPr>
            <w:tcW w:w="1843" w:type="dxa"/>
          </w:tcPr>
          <w:p w14:paraId="0463689C" w14:textId="19FE2EA7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7162,6</w:t>
            </w:r>
          </w:p>
        </w:tc>
        <w:tc>
          <w:tcPr>
            <w:tcW w:w="1586" w:type="dxa"/>
          </w:tcPr>
          <w:p w14:paraId="74B0DD4E" w14:textId="64EB49FA" w:rsidR="00603B5A" w:rsidRPr="00AB117A" w:rsidRDefault="00D7555D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D7555D">
              <w:rPr>
                <w:rFonts w:ascii="Times New Roman" w:hAnsi="Times New Roman"/>
                <w:color w:val="auto"/>
                <w:szCs w:val="24"/>
                <w:lang w:val="uk-UA"/>
              </w:rPr>
              <w:t>2494,7</w:t>
            </w:r>
          </w:p>
        </w:tc>
        <w:tc>
          <w:tcPr>
            <w:tcW w:w="1257" w:type="dxa"/>
            <w:gridSpan w:val="2"/>
          </w:tcPr>
          <w:p w14:paraId="4026FD79" w14:textId="36C833F1" w:rsidR="00603B5A" w:rsidRPr="00AB117A" w:rsidRDefault="00133D70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10434,2</w:t>
            </w:r>
          </w:p>
        </w:tc>
        <w:tc>
          <w:tcPr>
            <w:tcW w:w="1452" w:type="dxa"/>
          </w:tcPr>
          <w:p w14:paraId="32D6DE0E" w14:textId="0FC36C39" w:rsidR="00603B5A" w:rsidRPr="00AB117A" w:rsidRDefault="00133D70" w:rsidP="007737A5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10255,9</w:t>
            </w:r>
          </w:p>
        </w:tc>
        <w:tc>
          <w:tcPr>
            <w:tcW w:w="1586" w:type="dxa"/>
          </w:tcPr>
          <w:p w14:paraId="7811836B" w14:textId="477717CC" w:rsidR="00603B5A" w:rsidRPr="00AB117A" w:rsidRDefault="00133D70" w:rsidP="00133D70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133D70">
              <w:rPr>
                <w:rFonts w:ascii="Times New Roman" w:hAnsi="Times New Roman"/>
                <w:color w:val="auto"/>
                <w:szCs w:val="24"/>
                <w:lang w:val="uk-UA"/>
              </w:rPr>
              <w:t>178,3</w:t>
            </w:r>
          </w:p>
        </w:tc>
      </w:tr>
    </w:tbl>
    <w:p w14:paraId="326EE169" w14:textId="77777777" w:rsidR="00603B5A" w:rsidRDefault="00603B5A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62CA55E7" w14:textId="77777777" w:rsidR="00603B5A" w:rsidRDefault="00603B5A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sectPr w:rsidR="00603B5A" w:rsidSect="00F562C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71185"/>
    <w:rsid w:val="000776A1"/>
    <w:rsid w:val="0008411C"/>
    <w:rsid w:val="00087C5C"/>
    <w:rsid w:val="0009373D"/>
    <w:rsid w:val="000A4C9A"/>
    <w:rsid w:val="000C0CD9"/>
    <w:rsid w:val="000D5467"/>
    <w:rsid w:val="000D72DC"/>
    <w:rsid w:val="000F7698"/>
    <w:rsid w:val="00114FD5"/>
    <w:rsid w:val="001174E2"/>
    <w:rsid w:val="00124DD7"/>
    <w:rsid w:val="00133D70"/>
    <w:rsid w:val="001410E7"/>
    <w:rsid w:val="00167AAB"/>
    <w:rsid w:val="001765A2"/>
    <w:rsid w:val="00182F29"/>
    <w:rsid w:val="00187E17"/>
    <w:rsid w:val="001E101A"/>
    <w:rsid w:val="001E7C52"/>
    <w:rsid w:val="001F7F8E"/>
    <w:rsid w:val="00216FC4"/>
    <w:rsid w:val="00223397"/>
    <w:rsid w:val="0022541A"/>
    <w:rsid w:val="00254FF5"/>
    <w:rsid w:val="00260A97"/>
    <w:rsid w:val="0026421C"/>
    <w:rsid w:val="00281EC3"/>
    <w:rsid w:val="002829FD"/>
    <w:rsid w:val="00296BE4"/>
    <w:rsid w:val="002C32BA"/>
    <w:rsid w:val="002E4CB0"/>
    <w:rsid w:val="002F7522"/>
    <w:rsid w:val="003333CA"/>
    <w:rsid w:val="00377655"/>
    <w:rsid w:val="003945C0"/>
    <w:rsid w:val="003B46FD"/>
    <w:rsid w:val="003D2549"/>
    <w:rsid w:val="003D7C21"/>
    <w:rsid w:val="003E6580"/>
    <w:rsid w:val="003E67E0"/>
    <w:rsid w:val="00421827"/>
    <w:rsid w:val="004235D1"/>
    <w:rsid w:val="00442574"/>
    <w:rsid w:val="004579FF"/>
    <w:rsid w:val="004734AE"/>
    <w:rsid w:val="004C62F2"/>
    <w:rsid w:val="004C74F4"/>
    <w:rsid w:val="004E16E3"/>
    <w:rsid w:val="004E49E9"/>
    <w:rsid w:val="004F626F"/>
    <w:rsid w:val="004F7425"/>
    <w:rsid w:val="005950B7"/>
    <w:rsid w:val="005A007B"/>
    <w:rsid w:val="005A35E6"/>
    <w:rsid w:val="005B1CDA"/>
    <w:rsid w:val="005B725C"/>
    <w:rsid w:val="005E41A1"/>
    <w:rsid w:val="005F413C"/>
    <w:rsid w:val="00603B5A"/>
    <w:rsid w:val="00625CE8"/>
    <w:rsid w:val="006307BB"/>
    <w:rsid w:val="00631767"/>
    <w:rsid w:val="00635E68"/>
    <w:rsid w:val="00637AB8"/>
    <w:rsid w:val="00657478"/>
    <w:rsid w:val="00667E7A"/>
    <w:rsid w:val="00680716"/>
    <w:rsid w:val="006C75A0"/>
    <w:rsid w:val="006E4BF8"/>
    <w:rsid w:val="00700928"/>
    <w:rsid w:val="00716905"/>
    <w:rsid w:val="007737A5"/>
    <w:rsid w:val="0079280F"/>
    <w:rsid w:val="007A10B0"/>
    <w:rsid w:val="007C0BFC"/>
    <w:rsid w:val="007C13DF"/>
    <w:rsid w:val="007C1836"/>
    <w:rsid w:val="007C46E3"/>
    <w:rsid w:val="007E082C"/>
    <w:rsid w:val="007F7A64"/>
    <w:rsid w:val="00806A73"/>
    <w:rsid w:val="008124C8"/>
    <w:rsid w:val="00845330"/>
    <w:rsid w:val="00845838"/>
    <w:rsid w:val="00847E75"/>
    <w:rsid w:val="00856939"/>
    <w:rsid w:val="008571E3"/>
    <w:rsid w:val="00873F27"/>
    <w:rsid w:val="00875F45"/>
    <w:rsid w:val="008762FC"/>
    <w:rsid w:val="00885DB5"/>
    <w:rsid w:val="008A102C"/>
    <w:rsid w:val="008D06A6"/>
    <w:rsid w:val="00924958"/>
    <w:rsid w:val="0092736A"/>
    <w:rsid w:val="009318E8"/>
    <w:rsid w:val="00933D53"/>
    <w:rsid w:val="00962B07"/>
    <w:rsid w:val="00967976"/>
    <w:rsid w:val="0099290C"/>
    <w:rsid w:val="00996B02"/>
    <w:rsid w:val="009B1560"/>
    <w:rsid w:val="009B5A47"/>
    <w:rsid w:val="009C6056"/>
    <w:rsid w:val="009D6023"/>
    <w:rsid w:val="009E34CA"/>
    <w:rsid w:val="009F0A9E"/>
    <w:rsid w:val="00A075E1"/>
    <w:rsid w:val="00A24DFF"/>
    <w:rsid w:val="00A50258"/>
    <w:rsid w:val="00A56986"/>
    <w:rsid w:val="00A609D5"/>
    <w:rsid w:val="00A95F78"/>
    <w:rsid w:val="00AA3C40"/>
    <w:rsid w:val="00AA5B1E"/>
    <w:rsid w:val="00AB117A"/>
    <w:rsid w:val="00AC5043"/>
    <w:rsid w:val="00AC6607"/>
    <w:rsid w:val="00AD4861"/>
    <w:rsid w:val="00AD71B8"/>
    <w:rsid w:val="00B21735"/>
    <w:rsid w:val="00B339A4"/>
    <w:rsid w:val="00B50854"/>
    <w:rsid w:val="00B700F1"/>
    <w:rsid w:val="00BB54C2"/>
    <w:rsid w:val="00BC78B3"/>
    <w:rsid w:val="00BD3EB2"/>
    <w:rsid w:val="00BD3F69"/>
    <w:rsid w:val="00BD68E4"/>
    <w:rsid w:val="00C00ACF"/>
    <w:rsid w:val="00C05988"/>
    <w:rsid w:val="00C2555F"/>
    <w:rsid w:val="00C35224"/>
    <w:rsid w:val="00C47DA3"/>
    <w:rsid w:val="00C61C7C"/>
    <w:rsid w:val="00C6700C"/>
    <w:rsid w:val="00C75279"/>
    <w:rsid w:val="00C846A3"/>
    <w:rsid w:val="00CA7559"/>
    <w:rsid w:val="00CC38F4"/>
    <w:rsid w:val="00CE7F0A"/>
    <w:rsid w:val="00D2210E"/>
    <w:rsid w:val="00D40216"/>
    <w:rsid w:val="00D42815"/>
    <w:rsid w:val="00D63CBC"/>
    <w:rsid w:val="00D7555D"/>
    <w:rsid w:val="00D80E66"/>
    <w:rsid w:val="00DB55C4"/>
    <w:rsid w:val="00DD3E91"/>
    <w:rsid w:val="00DD5A1A"/>
    <w:rsid w:val="00DF51D2"/>
    <w:rsid w:val="00DF6771"/>
    <w:rsid w:val="00DF6DB4"/>
    <w:rsid w:val="00E0715E"/>
    <w:rsid w:val="00E132E7"/>
    <w:rsid w:val="00E225C4"/>
    <w:rsid w:val="00E41128"/>
    <w:rsid w:val="00EC0A31"/>
    <w:rsid w:val="00EC1D90"/>
    <w:rsid w:val="00ED140F"/>
    <w:rsid w:val="00ED47BB"/>
    <w:rsid w:val="00EE0955"/>
    <w:rsid w:val="00F06FBB"/>
    <w:rsid w:val="00F119FC"/>
    <w:rsid w:val="00F33BBB"/>
    <w:rsid w:val="00F43BB3"/>
    <w:rsid w:val="00F45393"/>
    <w:rsid w:val="00F562C4"/>
    <w:rsid w:val="00F617B8"/>
    <w:rsid w:val="00F7385A"/>
    <w:rsid w:val="00F86992"/>
    <w:rsid w:val="00F86C12"/>
    <w:rsid w:val="00FA3941"/>
    <w:rsid w:val="00FA3993"/>
    <w:rsid w:val="00FB1041"/>
    <w:rsid w:val="00FB6453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E278"/>
  <w15:docId w15:val="{1135170D-C8F4-4973-AA81-044ECCB9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styleId="a4">
    <w:name w:val="List Paragraph"/>
    <w:basedOn w:val="a"/>
    <w:uiPriority w:val="99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2538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звіту про виконання регіональної програми за 2021 рік</vt:lpstr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iuliashklyar@gmail.com</cp:lastModifiedBy>
  <cp:revision>67</cp:revision>
  <cp:lastPrinted>2026-02-10T13:41:00Z</cp:lastPrinted>
  <dcterms:created xsi:type="dcterms:W3CDTF">2024-01-10T12:42:00Z</dcterms:created>
  <dcterms:modified xsi:type="dcterms:W3CDTF">2026-02-10T13:42:00Z</dcterms:modified>
</cp:coreProperties>
</file>